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>
      <w:pPr>
        <w:spacing w:line="580" w:lineRule="exact"/>
        <w:ind w:firstLine="562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</w:t>
      </w:r>
      <w:r>
        <w:rPr>
          <w:rFonts w:hint="eastAsia" w:ascii="方正小标宋_GBK" w:eastAsia="方正小标宋_GBK"/>
          <w:sz w:val="44"/>
          <w:szCs w:val="44"/>
        </w:rPr>
        <w:t>1年江苏高校“教学研究工作”专项课题指南</w:t>
      </w:r>
    </w:p>
    <w:p>
      <w:pPr>
        <w:pStyle w:val="7"/>
        <w:numPr>
          <w:ilvl w:val="0"/>
          <w:numId w:val="1"/>
        </w:numPr>
        <w:tabs>
          <w:tab w:val="center" w:pos="4473"/>
        </w:tabs>
        <w:spacing w:line="58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教学研究工作研究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思想政治教育改革创新与实践研究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02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课程思政建设探索与实践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03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人才培养方案制订与实施管理研究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04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一流专业建设的管理实践研究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05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新工科、新医科、新农科、新文科探索与实践研究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06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拔尖创新人才培养探索与实践研究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07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跨学科人才培养探索与实践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08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课程体系设计与优化研究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09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教学内容与教学方法改革研究与实践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CX-1</w:t>
      </w:r>
      <w:r>
        <w:rPr>
          <w:rFonts w:ascii="仿宋" w:hAnsi="仿宋" w:eastAsia="仿宋" w:cs="Times New Roman"/>
          <w:sz w:val="32"/>
          <w:szCs w:val="32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科教融合机制的探索与实践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CX-1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教材管理体制机制建设</w:t>
      </w:r>
      <w:r>
        <w:rPr>
          <w:rFonts w:hint="eastAsia" w:ascii="仿宋" w:hAnsi="仿宋" w:eastAsia="仿宋" w:cs="Times New Roman"/>
          <w:sz w:val="32"/>
          <w:szCs w:val="32"/>
        </w:rPr>
        <w:t>及精品教材建设</w:t>
      </w:r>
      <w:r>
        <w:rPr>
          <w:rFonts w:ascii="仿宋" w:hAnsi="仿宋" w:eastAsia="仿宋" w:cs="Times New Roman"/>
          <w:sz w:val="32"/>
          <w:szCs w:val="32"/>
        </w:rPr>
        <w:t>研究与实践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CX-1</w:t>
      </w: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质量保障体系构建的探索与实践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CX-1</w:t>
      </w: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教学成果培育与推广应用研究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CX-1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学生</w:t>
      </w:r>
      <w:r>
        <w:rPr>
          <w:rFonts w:hint="eastAsia" w:ascii="仿宋" w:hAnsi="仿宋" w:eastAsia="仿宋" w:cs="Times New Roman"/>
          <w:sz w:val="32"/>
          <w:szCs w:val="32"/>
        </w:rPr>
        <w:t>与学生</w:t>
      </w:r>
      <w:r>
        <w:rPr>
          <w:rFonts w:ascii="仿宋" w:hAnsi="仿宋" w:eastAsia="仿宋" w:cs="Times New Roman"/>
          <w:sz w:val="32"/>
          <w:szCs w:val="32"/>
        </w:rPr>
        <w:t>评价改革及支持服务体系建设的探索与实践</w:t>
      </w:r>
    </w:p>
    <w:p>
      <w:pPr>
        <w:pStyle w:val="7"/>
        <w:spacing w:line="580" w:lineRule="exact"/>
        <w:ind w:left="640" w:firstLine="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CX-1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.其他（申报者可结合高校教育教学管理实际与教学改革创新实践，自行确定选题）</w:t>
      </w:r>
    </w:p>
    <w:p>
      <w:pPr>
        <w:pStyle w:val="7"/>
        <w:numPr>
          <w:ilvl w:val="0"/>
          <w:numId w:val="1"/>
        </w:numPr>
        <w:tabs>
          <w:tab w:val="center" w:pos="4473"/>
        </w:tabs>
        <w:spacing w:line="580" w:lineRule="exact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信息技术支持下的教育教学创新改革研究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</w:t>
      </w: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基于课程思政在线课程建设和教学实践示例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002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基于混合式课程建设及其教学改革实践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003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基于专业课程群的混合式教学改革实践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004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基于混合式教学的通识课教学改革实践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005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基于智慧课堂互动系统的教学改革实践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006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利用信息化工具开展经典阅读学分课教学改革实践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007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运用教学大数据技术对教学质量进行评估评价实践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008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基于超星一平三端智慧教学系统的教学改革实践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009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利用示范教学包进行混合式教学改革的实践与探索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010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基于校际协同跨校互选混合式课程教学改革探索与实践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011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基于在线考试的实践与探索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012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基于信息化手段提升教学督导评价实践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013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基于新工科</w:t>
      </w:r>
      <w:r>
        <w:rPr>
          <w:rFonts w:hint="eastAsia" w:ascii="仿宋" w:hAnsi="仿宋" w:eastAsia="仿宋" w:cs="Times New Roman"/>
          <w:sz w:val="32"/>
          <w:szCs w:val="32"/>
        </w:rPr>
        <w:t>、新农科、新文科、新医科</w:t>
      </w:r>
      <w:r>
        <w:rPr>
          <w:rFonts w:ascii="仿宋" w:hAnsi="仿宋" w:eastAsia="仿宋" w:cs="Times New Roman"/>
          <w:sz w:val="32"/>
          <w:szCs w:val="32"/>
        </w:rPr>
        <w:t>混合式课程教学改革实践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014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基于文献检索课的混合式教学改革实践</w:t>
      </w:r>
    </w:p>
    <w:p>
      <w:pPr>
        <w:pStyle w:val="7"/>
        <w:adjustRightInd w:val="0"/>
        <w:snapToGrid w:val="0"/>
        <w:spacing w:line="580" w:lineRule="exact"/>
        <w:ind w:left="640" w:firstLine="0" w:firstLineChars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CX-</w:t>
      </w:r>
      <w:r>
        <w:rPr>
          <w:rFonts w:ascii="仿宋" w:hAnsi="仿宋" w:eastAsia="仿宋" w:cs="Times New Roman"/>
          <w:sz w:val="32"/>
          <w:szCs w:val="32"/>
        </w:rPr>
        <w:t>015</w:t>
      </w:r>
      <w:r>
        <w:rPr>
          <w:rFonts w:hint="eastAsia" w:ascii="仿宋" w:hAnsi="仿宋" w:eastAsia="仿宋" w:cs="Times New Roman"/>
          <w:sz w:val="32"/>
          <w:szCs w:val="32"/>
        </w:rPr>
        <w:t>.其他（申报者可结合高校教育教学管理实际与教学改革创新实践，自行确定选题）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48330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rPr>
        <w:rFonts w:ascii="Times New Roman" w:hAnsi="Times New Roman" w:eastAsia="宋体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A2BCC"/>
    <w:multiLevelType w:val="multilevel"/>
    <w:tmpl w:val="6D2A2BC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73"/>
    <w:rsid w:val="00232714"/>
    <w:rsid w:val="006D0E73"/>
    <w:rsid w:val="008F650C"/>
    <w:rsid w:val="00A26D6A"/>
    <w:rsid w:val="7F50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716</Characters>
  <Lines>5</Lines>
  <Paragraphs>1</Paragraphs>
  <TotalTime>1</TotalTime>
  <ScaleCrop>false</ScaleCrop>
  <LinksUpToDate>false</LinksUpToDate>
  <CharactersWithSpaces>840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2021-01-18T06:59:00Z</dcterms:created>
  <dc:creator>rong</dc:creator>
  <cp:lastModifiedBy>高歌一曲</cp:lastModifiedBy>
  <dcterms:modified xsi:type="dcterms:W3CDTF">2021-03-12T09:52:21Z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