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ascii="方正小标宋简体" w:eastAsia="方正小标宋简体" w:hAnsiTheme="majorEastAsia" w:cstheme="majorEastAsia"/>
          <w:b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江苏学位与研究生教育质量信息平台</w:t>
      </w:r>
    </w:p>
    <w:p>
      <w:pPr>
        <w:jc w:val="center"/>
        <w:rPr>
          <w:rFonts w:ascii="方正小标宋简体" w:eastAsia="方正小标宋简体" w:hAnsiTheme="majorEastAsia" w:cstheme="majorEastAsia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eastAsia="方正小标宋简体" w:hAnsiTheme="majorEastAsia" w:cstheme="majorEastAsia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t>（学士学位授权专业）</w:t>
      </w:r>
    </w:p>
    <w:p>
      <w:pPr>
        <w:jc w:val="center"/>
        <w:rPr>
          <w:rFonts w:ascii="方正小标宋简体" w:eastAsia="方正小标宋简体" w:hAnsiTheme="majorEastAsia" w:cstheme="majorEastAsia"/>
          <w:bCs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rFonts w:ascii="方正小标宋简体" w:eastAsia="方正小标宋简体" w:hAnsiTheme="majorEastAsia" w:cstheme="majorEastAsia"/>
          <w:b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  <w:r>
        <w:rPr>
          <w:rFonts w:hint="eastAsia" w:ascii="方正小标宋简体" w:eastAsia="方正小标宋简体" w:hAnsiTheme="majorEastAsia" w:cstheme="majorEastAsia"/>
          <w:b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  <w:t>申报操作指南</w:t>
      </w: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p>
      <w:pPr>
        <w:rPr>
          <w:rFonts w:ascii="方正小标宋简体" w:eastAsia="方正小标宋简体" w:hAnsiTheme="majorEastAsia" w:cstheme="majorEastAsia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bookmarkStart w:id="0" w:name="_GoBack"/>
      <w:bookmarkEnd w:id="0"/>
    </w:p>
    <w:p>
      <w:pPr>
        <w:numPr>
          <w:ilvl w:val="0"/>
          <w:numId w:val="1"/>
        </w:numPr>
        <w:spacing w:line="560" w:lineRule="exact"/>
        <w:ind w:firstLine="560" w:firstLineChars="200"/>
        <w:outlineLvl w:val="0"/>
        <w:rPr>
          <w:rFonts w:ascii="Times New Roman" w:hAnsi="Times New Roman" w:eastAsia="黑体"/>
          <w:color w:val="000000"/>
          <w:sz w:val="28"/>
          <w:szCs w:val="28"/>
        </w:rPr>
      </w:pPr>
      <w:r>
        <w:rPr>
          <w:rFonts w:ascii="Times New Roman" w:hAnsi="Times New Roman" w:eastAsia="黑体"/>
          <w:color w:val="000000"/>
          <w:sz w:val="28"/>
          <w:szCs w:val="28"/>
        </w:rPr>
        <w:t>平台登录</w:t>
      </w:r>
    </w:p>
    <w:p>
      <w:pPr>
        <w:spacing w:line="560" w:lineRule="exact"/>
        <w:ind w:firstLine="562" w:firstLineChars="200"/>
        <w:outlineLvl w:val="1"/>
        <w:rPr>
          <w:rFonts w:ascii="Times New Roman" w:hAnsi="Times New Roman" w:eastAsia="仿宋"/>
          <w:b/>
          <w:bCs/>
          <w:sz w:val="28"/>
          <w:szCs w:val="21"/>
        </w:rPr>
      </w:pPr>
      <w:r>
        <w:rPr>
          <w:rFonts w:ascii="Times New Roman" w:hAnsi="Times New Roman" w:eastAsia="仿宋"/>
          <w:b/>
          <w:bCs/>
          <w:sz w:val="28"/>
          <w:szCs w:val="21"/>
        </w:rPr>
        <w:t>1.平台首页</w:t>
      </w:r>
    </w:p>
    <w:p>
      <w:pPr>
        <w:ind w:firstLine="560" w:firstLineChars="200"/>
        <w:rPr>
          <w:rFonts w:ascii="Times New Roman" w:hAnsi="Times New Roman" w:eastAsia="仿宋"/>
          <w:sz w:val="28"/>
          <w:szCs w:val="21"/>
        </w:rPr>
      </w:pPr>
      <w:r>
        <w:rPr>
          <w:rFonts w:ascii="Times New Roman" w:hAnsi="Times New Roman" w:eastAsia="仿宋"/>
          <w:sz w:val="28"/>
          <w:szCs w:val="21"/>
        </w:rPr>
        <w:t>打开浏览器，输入地址</w:t>
      </w:r>
      <w:r>
        <w:rPr>
          <w:rFonts w:ascii="Times New Roman" w:hAnsi="Times New Roman" w:eastAsia="仿宋"/>
          <w:sz w:val="22"/>
          <w:szCs w:val="18"/>
        </w:rPr>
        <w:t>http://jsxw.jse.edu.cn/</w:t>
      </w:r>
      <w:r>
        <w:rPr>
          <w:rFonts w:ascii="Times New Roman" w:hAnsi="Times New Roman" w:eastAsia="仿宋"/>
          <w:sz w:val="28"/>
          <w:szCs w:val="21"/>
        </w:rPr>
        <w:t>，进入平台首页，推荐使用谷歌浏览器。如图1-1所示。</w:t>
      </w:r>
    </w:p>
    <w:p>
      <w:r>
        <w:drawing>
          <wp:inline distT="0" distB="0" distL="114300" distR="114300">
            <wp:extent cx="5272405" cy="2378075"/>
            <wp:effectExtent l="0" t="0" r="4445" b="317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图1-1</w:t>
      </w:r>
    </w:p>
    <w:p>
      <w:pPr>
        <w:spacing w:line="560" w:lineRule="exact"/>
        <w:ind w:firstLine="562" w:firstLineChars="200"/>
        <w:outlineLvl w:val="1"/>
        <w:rPr>
          <w:rFonts w:ascii="仿宋" w:hAnsi="仿宋" w:eastAsia="仿宋" w:cstheme="minorEastAsia"/>
          <w:b/>
          <w:bCs/>
          <w:color w:val="000000"/>
          <w:sz w:val="28"/>
        </w:rPr>
      </w:pPr>
      <w:r>
        <w:rPr>
          <w:rFonts w:ascii="仿宋" w:hAnsi="仿宋" w:eastAsia="仿宋" w:cstheme="minorEastAsia"/>
          <w:b/>
          <w:bCs/>
          <w:color w:val="000000"/>
          <w:sz w:val="28"/>
        </w:rPr>
        <w:t>2.</w:t>
      </w:r>
      <w:r>
        <w:rPr>
          <w:rFonts w:hint="eastAsia" w:ascii="仿宋" w:hAnsi="仿宋" w:eastAsia="仿宋" w:cstheme="minorEastAsia"/>
          <w:b/>
          <w:bCs/>
          <w:color w:val="000000"/>
          <w:sz w:val="28"/>
        </w:rPr>
        <w:t>用户登录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sz w:val="28"/>
          <w:szCs w:val="21"/>
        </w:rPr>
      </w:pPr>
      <w:r>
        <w:rPr>
          <w:rFonts w:hint="eastAsia" w:ascii="仿宋" w:hAnsi="仿宋" w:eastAsia="仿宋" w:cstheme="minorEastAsia"/>
          <w:sz w:val="28"/>
          <w:szCs w:val="21"/>
        </w:rPr>
        <w:t>高校用户登录区域选择“高校登录”，在跳转页面输入账号、密码、验证码，再点击回车按钮即可完成登录。</w:t>
      </w:r>
      <w:r>
        <w:rPr>
          <w:rFonts w:ascii="Times New Roman" w:hAnsi="Times New Roman" w:eastAsia="仿宋"/>
          <w:bCs/>
          <w:sz w:val="28"/>
          <w:szCs w:val="21"/>
        </w:rPr>
        <w:t>初始用户名：xsxw学校代码，初始密码</w:t>
      </w:r>
      <w:r>
        <w:rPr>
          <w:rFonts w:hint="eastAsia" w:ascii="Times New Roman" w:hAnsi="Times New Roman" w:eastAsia="仿宋"/>
          <w:bCs/>
          <w:sz w:val="28"/>
          <w:szCs w:val="21"/>
        </w:rPr>
        <w:t>同初始</w:t>
      </w:r>
      <w:r>
        <w:rPr>
          <w:rFonts w:ascii="Times New Roman" w:hAnsi="Times New Roman" w:eastAsia="仿宋"/>
          <w:bCs/>
          <w:sz w:val="28"/>
          <w:szCs w:val="21"/>
        </w:rPr>
        <w:t>用户名。</w:t>
      </w:r>
    </w:p>
    <w:p>
      <w:pPr>
        <w:spacing w:line="560" w:lineRule="exact"/>
        <w:ind w:firstLine="560" w:firstLineChars="200"/>
        <w:rPr>
          <w:rFonts w:ascii="仿宋" w:hAnsi="仿宋" w:eastAsia="仿宋" w:cstheme="minorEastAsia"/>
          <w:sz w:val="28"/>
          <w:szCs w:val="21"/>
        </w:rPr>
      </w:pPr>
    </w:p>
    <w:p>
      <w:pPr>
        <w:spacing w:line="560" w:lineRule="exact"/>
        <w:rPr>
          <w:rFonts w:ascii="Times New Roman" w:hAnsi="Times New Roman" w:eastAsia="仿宋"/>
          <w:color w:val="FF0000"/>
          <w:sz w:val="28"/>
          <w:szCs w:val="21"/>
        </w:rPr>
      </w:pPr>
      <w:r>
        <w:rPr>
          <w:rFonts w:ascii="Times New Roman" w:hAnsi="Times New Roman" w:eastAsia="仿宋"/>
          <w:color w:val="FF0000"/>
          <w:sz w:val="28"/>
          <w:szCs w:val="21"/>
        </w:rPr>
        <w:t>注：如有密码遗忘</w:t>
      </w:r>
      <w:r>
        <w:rPr>
          <w:rFonts w:hint="eastAsia" w:ascii="Times New Roman" w:hAnsi="Times New Roman" w:eastAsia="仿宋"/>
          <w:color w:val="FF0000"/>
          <w:sz w:val="28"/>
          <w:szCs w:val="21"/>
        </w:rPr>
        <w:t>，</w:t>
      </w:r>
      <w:r>
        <w:rPr>
          <w:rFonts w:ascii="Times New Roman" w:hAnsi="Times New Roman" w:eastAsia="仿宋"/>
          <w:color w:val="FF0000"/>
          <w:sz w:val="28"/>
          <w:szCs w:val="21"/>
        </w:rPr>
        <w:t>高校管理员请联系平台管理人员咨询</w:t>
      </w:r>
      <w:r>
        <w:rPr>
          <w:rFonts w:hint="eastAsia" w:ascii="Times New Roman" w:hAnsi="Times New Roman" w:eastAsia="仿宋"/>
          <w:color w:val="FF0000"/>
          <w:sz w:val="28"/>
          <w:szCs w:val="21"/>
        </w:rPr>
        <w:t>，</w:t>
      </w:r>
      <w:r>
        <w:rPr>
          <w:rFonts w:ascii="Times New Roman" w:hAnsi="Times New Roman" w:eastAsia="仿宋"/>
          <w:color w:val="FF0000"/>
          <w:sz w:val="28"/>
          <w:szCs w:val="21"/>
        </w:rPr>
        <w:t>高校录入员账号密码请联系所属高校管理员。如图1-2所示。</w:t>
      </w:r>
    </w:p>
    <w:p>
      <w:pPr>
        <w:tabs>
          <w:tab w:val="center" w:pos="4153"/>
        </w:tabs>
        <w:jc w:val="center"/>
        <w:rPr>
          <w:rFonts w:ascii="黑体" w:hAnsi="黑体" w:eastAsia="黑体"/>
          <w:sz w:val="24"/>
        </w:rPr>
      </w:pPr>
      <w:r>
        <w:drawing>
          <wp:inline distT="0" distB="0" distL="114300" distR="114300">
            <wp:extent cx="5269230" cy="2341880"/>
            <wp:effectExtent l="0" t="0" r="7620" b="127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  <w:sz w:val="24"/>
        </w:rPr>
        <w:t>图</w:t>
      </w:r>
      <w:r>
        <w:rPr>
          <w:rFonts w:ascii="黑体" w:hAnsi="黑体" w:eastAsia="黑体"/>
          <w:sz w:val="24"/>
        </w:rPr>
        <w:t>1-2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sz w:val="28"/>
        </w:rPr>
      </w:pPr>
      <w:r>
        <w:rPr>
          <w:rFonts w:ascii="Times New Roman" w:hAnsi="Times New Roman" w:eastAsia="仿宋"/>
          <w:sz w:val="28"/>
        </w:rPr>
        <w:t>初次登录成功后，需要进行密码重置。如图1-3所示。</w:t>
      </w:r>
    </w:p>
    <w:p>
      <w:pPr>
        <w:jc w:val="center"/>
      </w:pPr>
      <w:r>
        <w:drawing>
          <wp:inline distT="0" distB="0" distL="114300" distR="114300">
            <wp:extent cx="5269230" cy="2357120"/>
            <wp:effectExtent l="0" t="0" r="7620" b="508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5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</w:t>
      </w:r>
      <w:r>
        <w:rPr>
          <w:rFonts w:ascii="黑体" w:hAnsi="黑体" w:eastAsia="黑体"/>
          <w:sz w:val="24"/>
        </w:rPr>
        <w:t>1-</w:t>
      </w:r>
      <w:r>
        <w:rPr>
          <w:rFonts w:hint="eastAsia" w:ascii="黑体" w:hAnsi="黑体" w:eastAsia="黑体"/>
          <w:sz w:val="24"/>
        </w:rPr>
        <w:t>3</w:t>
      </w:r>
    </w:p>
    <w:p>
      <w:pPr>
        <w:tabs>
          <w:tab w:val="center" w:pos="4153"/>
        </w:tabs>
        <w:jc w:val="center"/>
        <w:rPr>
          <w:rFonts w:ascii="仿宋" w:hAnsi="仿宋" w:eastAsia="仿宋"/>
          <w:sz w:val="28"/>
          <w:szCs w:val="21"/>
        </w:rPr>
      </w:pPr>
      <w:r>
        <w:rPr>
          <w:rFonts w:hint="eastAsia" w:ascii="仿宋" w:hAnsi="仿宋" w:eastAsia="仿宋"/>
          <w:sz w:val="28"/>
          <w:szCs w:val="21"/>
        </w:rPr>
        <w:t>密码重置后，进入平台主页。</w:t>
      </w:r>
    </w:p>
    <w:p>
      <w:pPr>
        <w:tabs>
          <w:tab w:val="center" w:pos="4153"/>
        </w:tabs>
        <w:jc w:val="center"/>
        <w:rPr>
          <w:rFonts w:ascii="仿宋" w:hAnsi="仿宋" w:eastAsia="仿宋"/>
          <w:color w:val="FF0000"/>
          <w:sz w:val="28"/>
          <w:szCs w:val="21"/>
        </w:rPr>
      </w:pPr>
      <w:r>
        <w:rPr>
          <w:rFonts w:hint="eastAsia" w:ascii="仿宋" w:hAnsi="仿宋" w:eastAsia="仿宋"/>
          <w:color w:val="FF0000"/>
          <w:sz w:val="28"/>
          <w:szCs w:val="21"/>
        </w:rPr>
        <w:t>注：请高校管理员务必填写个人信息，实名制并填写正确联系方式。</w:t>
      </w:r>
    </w:p>
    <w:p>
      <w:pPr>
        <w:tabs>
          <w:tab w:val="center" w:pos="4153"/>
        </w:tabs>
        <w:jc w:val="center"/>
        <w:rPr>
          <w:rFonts w:ascii="黑体" w:hAnsi="黑体" w:eastAsia="黑体"/>
          <w:sz w:val="24"/>
        </w:rPr>
      </w:pPr>
    </w:p>
    <w:p>
      <w:pPr>
        <w:pStyle w:val="8"/>
        <w:numPr>
          <w:ilvl w:val="0"/>
          <w:numId w:val="1"/>
        </w:numPr>
        <w:spacing w:line="560" w:lineRule="exact"/>
        <w:ind w:firstLine="560"/>
        <w:outlineLvl w:val="0"/>
        <w:rPr>
          <w:rFonts w:ascii="Times New Roman" w:hAnsi="Times New Roman" w:eastAsia="黑体"/>
          <w:color w:val="000000"/>
          <w:sz w:val="28"/>
          <w:szCs w:val="28"/>
        </w:rPr>
      </w:pPr>
      <w:r>
        <w:rPr>
          <w:rFonts w:ascii="Times New Roman" w:hAnsi="Times New Roman" w:eastAsia="黑体"/>
          <w:color w:val="000000"/>
          <w:sz w:val="28"/>
          <w:szCs w:val="28"/>
        </w:rPr>
        <w:t>高校管理员添加高校录入员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sz w:val="28"/>
        </w:rPr>
      </w:pPr>
      <w:r>
        <w:rPr>
          <w:rFonts w:ascii="Times New Roman" w:hAnsi="Times New Roman" w:eastAsia="仿宋"/>
          <w:sz w:val="28"/>
        </w:rPr>
        <w:t>点击菜单栏中的“学位管理--系统管理--高校录入员”选项，即可进入管理当前所属高校录入员账号界面。如图2-1所示。</w:t>
      </w:r>
    </w:p>
    <w:p>
      <w:r>
        <w:drawing>
          <wp:inline distT="0" distB="0" distL="114300" distR="114300">
            <wp:extent cx="5260975" cy="2661920"/>
            <wp:effectExtent l="0" t="0" r="15875" b="508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66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</w:t>
      </w:r>
      <w:r>
        <w:rPr>
          <w:rFonts w:ascii="黑体" w:hAnsi="黑体" w:eastAsia="黑体"/>
          <w:sz w:val="24"/>
        </w:rPr>
        <w:t>2-1</w:t>
      </w:r>
    </w:p>
    <w:p>
      <w:pPr>
        <w:ind w:firstLine="560" w:firstLineChars="200"/>
        <w:jc w:val="left"/>
        <w:rPr>
          <w:rFonts w:ascii="Times New Roman" w:hAnsi="Times New Roman" w:eastAsia="仿宋"/>
          <w:sz w:val="28"/>
        </w:rPr>
      </w:pPr>
      <w:r>
        <w:rPr>
          <w:rFonts w:ascii="Times New Roman" w:hAnsi="Times New Roman" w:eastAsia="仿宋"/>
          <w:sz w:val="28"/>
        </w:rPr>
        <w:t>点击“添加”按钮，跳转至新增账号详情页面，根据字段提示，按照要求进行填写个人信息。全部填写完成后确认无误后点击“提交”按钮（姓名、联系方式确保准确无误，否则会影响申报信息）。如图2-2所示。</w:t>
      </w:r>
    </w:p>
    <w:p>
      <w:pPr>
        <w:jc w:val="left"/>
        <w:rPr>
          <w:rFonts w:ascii="仿宋" w:hAnsi="仿宋" w:eastAsia="仿宋" w:cstheme="minorEastAsia"/>
          <w:color w:val="FF0000"/>
          <w:sz w:val="28"/>
        </w:rPr>
      </w:pPr>
      <w:r>
        <w:rPr>
          <w:rFonts w:hint="eastAsia" w:ascii="仿宋" w:hAnsi="仿宋" w:eastAsia="仿宋" w:cstheme="minorEastAsia"/>
          <w:color w:val="FF0000"/>
          <w:sz w:val="28"/>
        </w:rPr>
        <w:t>注：建议账号格式为：学校代码+三位流水号、学院拼音、负责人姓名拼音等，如</w:t>
      </w:r>
      <w:r>
        <w:rPr>
          <w:rFonts w:ascii="仿宋" w:hAnsi="仿宋" w:eastAsia="仿宋" w:cstheme="minorEastAsia"/>
          <w:color w:val="FF0000"/>
          <w:sz w:val="28"/>
        </w:rPr>
        <w:t>由</w:t>
      </w:r>
      <w:r>
        <w:rPr>
          <w:rFonts w:hint="eastAsia" w:ascii="仿宋" w:hAnsi="仿宋" w:eastAsia="仿宋" w:cstheme="minorEastAsia"/>
          <w:color w:val="FF0000"/>
          <w:sz w:val="28"/>
        </w:rPr>
        <w:t>高校</w:t>
      </w:r>
      <w:r>
        <w:rPr>
          <w:rFonts w:ascii="仿宋" w:hAnsi="仿宋" w:eastAsia="仿宋" w:cstheme="minorEastAsia"/>
          <w:color w:val="FF0000"/>
          <w:sz w:val="28"/>
        </w:rPr>
        <w:t>管理员统一录入，</w:t>
      </w:r>
      <w:r>
        <w:rPr>
          <w:rFonts w:hint="eastAsia" w:ascii="仿宋" w:hAnsi="仿宋" w:eastAsia="仿宋" w:cstheme="minorEastAsia"/>
          <w:color w:val="FF0000"/>
          <w:sz w:val="28"/>
        </w:rPr>
        <w:t>可</w:t>
      </w:r>
      <w:r>
        <w:rPr>
          <w:rFonts w:ascii="仿宋" w:hAnsi="仿宋" w:eastAsia="仿宋" w:cstheme="minorEastAsia"/>
          <w:color w:val="FF0000"/>
          <w:sz w:val="28"/>
        </w:rPr>
        <w:t>不添加</w:t>
      </w:r>
      <w:r>
        <w:rPr>
          <w:rFonts w:hint="eastAsia" w:ascii="仿宋" w:hAnsi="仿宋" w:eastAsia="仿宋" w:cstheme="minorEastAsia"/>
          <w:color w:val="FF0000"/>
          <w:sz w:val="28"/>
        </w:rPr>
        <w:t>高校</w:t>
      </w:r>
      <w:r>
        <w:rPr>
          <w:rFonts w:ascii="仿宋" w:hAnsi="仿宋" w:eastAsia="仿宋" w:cstheme="minorEastAsia"/>
          <w:color w:val="FF0000"/>
          <w:sz w:val="28"/>
        </w:rPr>
        <w:t>录入员信息。</w:t>
      </w:r>
    </w:p>
    <w:p>
      <w:r>
        <w:drawing>
          <wp:inline distT="0" distB="0" distL="114300" distR="114300">
            <wp:extent cx="5264785" cy="2526030"/>
            <wp:effectExtent l="0" t="0" r="12065" b="762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2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</w:t>
      </w:r>
      <w:r>
        <w:rPr>
          <w:rFonts w:ascii="黑体" w:hAnsi="黑体" w:eastAsia="黑体"/>
          <w:sz w:val="24"/>
        </w:rPr>
        <w:t>2-</w:t>
      </w:r>
      <w:r>
        <w:rPr>
          <w:rFonts w:hint="eastAsia" w:ascii="黑体" w:hAnsi="黑体" w:eastAsia="黑体"/>
          <w:sz w:val="24"/>
        </w:rPr>
        <w:t>2</w:t>
      </w:r>
    </w:p>
    <w:p>
      <w:pPr>
        <w:rPr>
          <w:rFonts w:ascii="黑体" w:hAnsi="黑体" w:eastAsia="黑体"/>
          <w:sz w:val="24"/>
        </w:rPr>
      </w:pPr>
    </w:p>
    <w:p>
      <w:pPr>
        <w:pStyle w:val="8"/>
        <w:numPr>
          <w:ilvl w:val="0"/>
          <w:numId w:val="1"/>
        </w:numPr>
        <w:spacing w:line="560" w:lineRule="exact"/>
        <w:ind w:firstLine="560"/>
        <w:outlineLvl w:val="0"/>
        <w:rPr>
          <w:rFonts w:ascii="黑体" w:hAnsi="黑体" w:eastAsia="黑体"/>
          <w:color w:val="000000"/>
          <w:sz w:val="28"/>
          <w:szCs w:val="28"/>
        </w:rPr>
      </w:pPr>
      <w:r>
        <w:rPr>
          <w:rFonts w:hint="eastAsia" w:ascii="黑体" w:hAnsi="黑体" w:eastAsia="黑体"/>
          <w:color w:val="000000"/>
          <w:sz w:val="28"/>
          <w:szCs w:val="28"/>
        </w:rPr>
        <w:t>高校录入员(或高校管理员)进行学士学位授权专业申报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sz w:val="28"/>
        </w:rPr>
        <w:t>点击菜单栏中的“学位管理--学士学位授权专业审核--学士学位授权专业申请”选项，即可进入学士学位授权专业申报页。如图 3-1 所示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。</w:t>
      </w:r>
    </w:p>
    <w:p>
      <w:pPr>
        <w:widowControl/>
        <w:jc w:val="left"/>
        <w:rPr>
          <w:rFonts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drawing>
          <wp:inline distT="0" distB="0" distL="114300" distR="114300">
            <wp:extent cx="5267960" cy="2335530"/>
            <wp:effectExtent l="0" t="0" r="889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3-1</w:t>
      </w:r>
    </w:p>
    <w:p>
      <w:pPr>
        <w:widowControl/>
        <w:ind w:firstLine="560" w:firstLineChars="200"/>
        <w:jc w:val="left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点击“添加”按钮，跳转至申报详情页面</w:t>
      </w:r>
      <w:r>
        <w:rPr>
          <w:rFonts w:ascii="Times New Roman" w:hAnsi="Times New Roman" w:eastAsia="黑体"/>
          <w:color w:val="000000"/>
          <w:kern w:val="0"/>
          <w:sz w:val="24"/>
          <w:lang w:bidi="ar"/>
        </w:rPr>
        <w:t>，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根据申报字段提示，按照要求进行填写。如图 3-2 所示。</w:t>
      </w:r>
    </w:p>
    <w:p>
      <w:pPr>
        <w:spacing w:line="560" w:lineRule="exact"/>
        <w:rPr>
          <w:rFonts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rPr>
          <w:rFonts w:hint="eastAsia" w:ascii="仿宋" w:hAnsi="仿宋" w:eastAsia="仿宋" w:cs="仿宋"/>
          <w:color w:val="FF0000"/>
          <w:kern w:val="0"/>
          <w:sz w:val="28"/>
          <w:szCs w:val="28"/>
          <w:lang w:bidi="ar"/>
        </w:rPr>
        <w:t>注：请在填报时间范围内进行添加编辑操作。</w:t>
      </w:r>
    </w:p>
    <w:p>
      <w:pPr>
        <w:widowControl/>
        <w:jc w:val="left"/>
      </w:pPr>
      <w:r>
        <w:drawing>
          <wp:inline distT="0" distB="0" distL="114300" distR="114300">
            <wp:extent cx="5273040" cy="2243455"/>
            <wp:effectExtent l="0" t="0" r="3810" b="444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3-2</w:t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</w:p>
    <w:p>
      <w:pPr>
        <w:widowControl/>
        <w:ind w:firstLine="560" w:firstLineChars="200"/>
        <w:jc w:val="left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 xml:space="preserve">点击填报页面“查询”按钮，可查询并选择专业目录表内数据。如图 3-3 所示。 </w:t>
      </w:r>
    </w:p>
    <w:p>
      <w:pPr>
        <w:spacing w:line="560" w:lineRule="exact"/>
        <w:rPr>
          <w:rFonts w:ascii="仿宋" w:hAnsi="仿宋" w:eastAsia="仿宋" w:cs="仿宋"/>
          <w:color w:val="FF0000"/>
          <w:kern w:val="0"/>
          <w:sz w:val="28"/>
          <w:szCs w:val="28"/>
          <w:lang w:bidi="ar"/>
        </w:rPr>
      </w:pPr>
      <w:r>
        <w:rPr>
          <w:rFonts w:hint="eastAsia" w:ascii="仿宋" w:hAnsi="仿宋" w:eastAsia="仿宋" w:cs="仿宋"/>
          <w:color w:val="FF0000"/>
          <w:kern w:val="0"/>
          <w:sz w:val="28"/>
          <w:szCs w:val="28"/>
          <w:lang w:bidi="ar"/>
        </w:rPr>
        <w:t>注：未在专业目录库内的数据需手动输入。</w:t>
      </w:r>
    </w:p>
    <w:p>
      <w:pPr>
        <w:widowControl/>
        <w:jc w:val="left"/>
      </w:pPr>
      <w:r>
        <w:drawing>
          <wp:inline distT="0" distB="0" distL="114300" distR="114300">
            <wp:extent cx="5272405" cy="2179320"/>
            <wp:effectExtent l="0" t="0" r="4445" b="1143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3-3</w:t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</w:p>
    <w:p>
      <w:pPr>
        <w:widowControl/>
        <w:ind w:firstLine="560" w:firstLineChars="200"/>
        <w:jc w:val="left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全部填写完成确认无误后点击“暂存”按钮。如图 3-4所示。其中专业简况表、专家审核意见表均需要先下载模板，签字盖章扫描后上传pdf版本。专家汇总表先下载模板，填好后上传excel版本。</w:t>
      </w:r>
    </w:p>
    <w:p>
      <w:pPr>
        <w:widowControl/>
        <w:jc w:val="left"/>
      </w:pPr>
      <w:r>
        <w:drawing>
          <wp:inline distT="0" distB="0" distL="114300" distR="114300">
            <wp:extent cx="5265420" cy="2239010"/>
            <wp:effectExtent l="0" t="0" r="11430" b="889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3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3-4</w:t>
      </w:r>
    </w:p>
    <w:p>
      <w:pPr>
        <w:widowControl/>
        <w:ind w:firstLine="560" w:firstLineChars="200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点击数据列表专家汇总“填写”按钮，可以看见刚刚导入的专家excel汇总数据。点击列表上方“添加”按钮，进入专家单个填报界面，可进行导入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、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修改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、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增加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、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删除等编辑操作，全部确认无误后点击“提交”按钮。如图 3-5、3-6 、3-7所示。</w:t>
      </w:r>
    </w:p>
    <w:p>
      <w:pPr>
        <w:widowControl/>
        <w:rPr>
          <w:rFonts w:ascii="仿宋" w:hAnsi="仿宋" w:eastAsia="仿宋" w:cs="仿宋"/>
          <w:color w:val="000000"/>
          <w:kern w:val="0"/>
          <w:sz w:val="28"/>
          <w:szCs w:val="28"/>
          <w:lang w:bidi="ar"/>
        </w:rPr>
      </w:pPr>
    </w:p>
    <w:p>
      <w:pPr>
        <w:widowControl/>
      </w:pPr>
      <w:r>
        <w:drawing>
          <wp:inline distT="0" distB="0" distL="114300" distR="114300">
            <wp:extent cx="5273040" cy="1929130"/>
            <wp:effectExtent l="0" t="0" r="3810" b="139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</w:t>
      </w:r>
      <w:r>
        <w:rPr>
          <w:rFonts w:ascii="黑体" w:hAnsi="宋体" w:eastAsia="黑体" w:cs="黑体"/>
          <w:color w:val="000000"/>
          <w:kern w:val="0"/>
          <w:sz w:val="24"/>
          <w:lang w:bidi="ar"/>
        </w:rPr>
        <w:t>5</w:t>
      </w:r>
    </w:p>
    <w:p>
      <w:pPr>
        <w:widowControl/>
      </w:pPr>
      <w:r>
        <w:drawing>
          <wp:inline distT="0" distB="0" distL="114300" distR="114300">
            <wp:extent cx="5272405" cy="2221230"/>
            <wp:effectExtent l="0" t="0" r="4445" b="762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3-6</w:t>
      </w:r>
    </w:p>
    <w:p>
      <w:pPr>
        <w:widowControl/>
        <w:jc w:val="center"/>
      </w:pPr>
      <w:r>
        <w:rPr>
          <w:rFonts w:ascii="仿宋" w:hAnsi="仿宋" w:eastAsia="仿宋" w:cs="仿宋"/>
          <w:color w:val="000000"/>
          <w:kern w:val="0"/>
          <w:sz w:val="28"/>
          <w:szCs w:val="28"/>
        </w:rPr>
        <w:drawing>
          <wp:inline distT="0" distB="0" distL="0" distR="0">
            <wp:extent cx="5274310" cy="2740025"/>
            <wp:effectExtent l="0" t="0" r="2540" b="3175"/>
            <wp:docPr id="5" name="图片 5" descr="C:\Users\ADMINI~1\AppData\Local\Temp\WeChat Files\425f30fc988d7c45c081a4f769c9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~1\AppData\Local\Temp\WeChat Files\425f30fc988d7c45c081a4f769c95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3-7</w:t>
      </w:r>
    </w:p>
    <w:p>
      <w:pPr>
        <w:widowControl/>
      </w:pPr>
    </w:p>
    <w:p>
      <w:pPr>
        <w:widowControl/>
        <w:ind w:firstLine="560" w:firstLineChars="200"/>
        <w:jc w:val="left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 xml:space="preserve">当项目状态为“待提交”，表示录入成功。如图 3-8所示。 </w:t>
      </w:r>
    </w:p>
    <w:p>
      <w:pPr>
        <w:spacing w:line="560" w:lineRule="exact"/>
        <w:rPr>
          <w:rFonts w:ascii="Times New Roman" w:hAnsi="Times New Roman" w:eastAsia="仿宋"/>
          <w:color w:val="FF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FF0000"/>
          <w:kern w:val="0"/>
          <w:sz w:val="28"/>
          <w:szCs w:val="28"/>
          <w:lang w:bidi="ar"/>
        </w:rPr>
        <w:t>注：高校录入员只可暂存数据，暂存期间可以随时进行编辑修改，待高校管理员</w:t>
      </w:r>
      <w:r>
        <w:rPr>
          <w:rFonts w:hint="eastAsia" w:ascii="Times New Roman" w:hAnsi="Times New Roman" w:eastAsia="仿宋"/>
          <w:color w:val="FF0000"/>
          <w:kern w:val="0"/>
          <w:sz w:val="28"/>
          <w:szCs w:val="28"/>
          <w:lang w:bidi="ar"/>
        </w:rPr>
        <w:t>正式</w:t>
      </w:r>
      <w:r>
        <w:rPr>
          <w:rFonts w:ascii="Times New Roman" w:hAnsi="Times New Roman" w:eastAsia="仿宋"/>
          <w:color w:val="FF0000"/>
          <w:kern w:val="0"/>
          <w:sz w:val="28"/>
          <w:szCs w:val="28"/>
          <w:lang w:bidi="ar"/>
        </w:rPr>
        <w:t>提交后，将不可再操作。</w:t>
      </w:r>
    </w:p>
    <w:p>
      <w:pPr>
        <w:widowControl/>
        <w:rPr>
          <w:rFonts w:ascii="仿宋" w:hAnsi="仿宋" w:eastAsia="仿宋" w:cs="仿宋"/>
          <w:color w:val="000000"/>
          <w:kern w:val="0"/>
          <w:sz w:val="28"/>
          <w:szCs w:val="28"/>
          <w:lang w:bidi="ar"/>
        </w:rPr>
      </w:pPr>
      <w:r>
        <w:drawing>
          <wp:inline distT="0" distB="0" distL="114300" distR="114300">
            <wp:extent cx="5274310" cy="2374265"/>
            <wp:effectExtent l="0" t="0" r="2540" b="6985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24"/>
          <w:lang w:bidi="ar"/>
        </w:rPr>
        <w:t>图 3-8</w:t>
      </w:r>
    </w:p>
    <w:p>
      <w:pPr>
        <w:widowControl/>
      </w:pPr>
    </w:p>
    <w:p>
      <w:pPr>
        <w:pStyle w:val="8"/>
        <w:numPr>
          <w:ilvl w:val="0"/>
          <w:numId w:val="1"/>
        </w:numPr>
        <w:spacing w:line="560" w:lineRule="exact"/>
        <w:ind w:firstLine="560"/>
        <w:outlineLvl w:val="0"/>
        <w:rPr>
          <w:rFonts w:ascii="黑体" w:hAnsi="黑体" w:eastAsia="黑体"/>
          <w:color w:val="000000"/>
          <w:sz w:val="28"/>
          <w:szCs w:val="28"/>
        </w:rPr>
      </w:pPr>
      <w:r>
        <w:rPr>
          <w:rFonts w:hint="eastAsia" w:ascii="黑体" w:hAnsi="黑体" w:eastAsia="黑体"/>
          <w:color w:val="000000"/>
          <w:sz w:val="28"/>
          <w:szCs w:val="28"/>
        </w:rPr>
        <w:t>高校管理员提交学士学位授权专业申报材料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sz w:val="28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点击菜单栏中的“学位管理--学士学位授权专业审核--学士学位授权专业申请”选项，即可进入学士学位授权专业申报页。如图 4-1 所示。</w:t>
      </w:r>
    </w:p>
    <w:p>
      <w:r>
        <w:drawing>
          <wp:inline distT="0" distB="0" distL="114300" distR="114300">
            <wp:extent cx="5265420" cy="2176780"/>
            <wp:effectExtent l="0" t="0" r="11430" b="1397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7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图4</w:t>
      </w:r>
      <w:r>
        <w:rPr>
          <w:rFonts w:ascii="黑体" w:hAnsi="黑体" w:eastAsia="黑体"/>
          <w:sz w:val="24"/>
        </w:rPr>
        <w:t>-</w:t>
      </w:r>
      <w:r>
        <w:rPr>
          <w:rFonts w:hint="eastAsia" w:ascii="黑体" w:hAnsi="黑体" w:eastAsia="黑体"/>
          <w:sz w:val="24"/>
        </w:rPr>
        <w:t>1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页面汇总了所属高校的录入员填写暂存的数据，高校管理员需要进行检查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、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修改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、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编辑；高校管理员也可以自己进行添加。如图 4-2 所示。</w:t>
      </w:r>
    </w:p>
    <w:p>
      <w:r>
        <w:drawing>
          <wp:inline distT="0" distB="0" distL="114300" distR="114300">
            <wp:extent cx="5270500" cy="2201545"/>
            <wp:effectExtent l="0" t="0" r="6350" b="825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图4</w:t>
      </w:r>
      <w:r>
        <w:rPr>
          <w:rFonts w:ascii="黑体" w:hAnsi="黑体" w:eastAsia="黑体"/>
          <w:sz w:val="24"/>
        </w:rPr>
        <w:t>-</w:t>
      </w:r>
      <w:r>
        <w:rPr>
          <w:rFonts w:hint="eastAsia" w:ascii="黑体" w:hAnsi="黑体" w:eastAsia="黑体"/>
          <w:sz w:val="24"/>
        </w:rPr>
        <w:t>2</w:t>
      </w:r>
    </w:p>
    <w:p>
      <w:pPr>
        <w:jc w:val="center"/>
        <w:rPr>
          <w:rFonts w:ascii="黑体" w:hAnsi="黑体" w:eastAsia="黑体"/>
          <w:sz w:val="24"/>
        </w:rPr>
      </w:pPr>
    </w:p>
    <w:p>
      <w:pPr>
        <w:spacing w:line="560" w:lineRule="exact"/>
        <w:ind w:firstLine="560" w:firstLineChars="200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学位数据确认无误后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将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材料进行上传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，分别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点击“上传授权专业汇总表”“上传申请报告”“上传审核专家汇总表”“上传公示页面截图”。如图 4-3 所示。</w:t>
      </w:r>
    </w:p>
    <w:p>
      <w:pPr>
        <w:spacing w:line="560" w:lineRule="exact"/>
        <w:ind w:firstLine="560" w:firstLineChars="200"/>
        <w:rPr>
          <w:rFonts w:ascii="仿宋" w:hAnsi="仿宋" w:eastAsia="仿宋" w:cs="仿宋"/>
          <w:color w:val="000000"/>
          <w:kern w:val="0"/>
          <w:sz w:val="28"/>
          <w:szCs w:val="28"/>
          <w:lang w:bidi="ar"/>
        </w:rPr>
      </w:pPr>
    </w:p>
    <w:p>
      <w:r>
        <w:drawing>
          <wp:inline distT="0" distB="0" distL="114300" distR="114300">
            <wp:extent cx="5262880" cy="2162175"/>
            <wp:effectExtent l="0" t="0" r="13970" b="952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黑体" w:hAnsi="黑体" w:eastAsia="黑体"/>
          <w:sz w:val="24"/>
        </w:rPr>
      </w:pPr>
      <w:r>
        <w:rPr>
          <w:rFonts w:hint="eastAsia" w:ascii="黑体" w:hAnsi="黑体" w:eastAsia="黑体"/>
          <w:sz w:val="24"/>
        </w:rPr>
        <w:t>图4</w:t>
      </w:r>
      <w:r>
        <w:rPr>
          <w:rFonts w:ascii="黑体" w:hAnsi="黑体" w:eastAsia="黑体"/>
          <w:sz w:val="24"/>
        </w:rPr>
        <w:t>-</w:t>
      </w:r>
      <w:r>
        <w:rPr>
          <w:rFonts w:hint="eastAsia" w:ascii="黑体" w:hAnsi="黑体" w:eastAsia="黑体"/>
          <w:sz w:val="24"/>
        </w:rPr>
        <w:t>3</w:t>
      </w:r>
    </w:p>
    <w:p>
      <w:pPr>
        <w:spacing w:line="560" w:lineRule="exact"/>
        <w:ind w:firstLine="560" w:firstLineChars="200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其中“上传授权专业汇总表”“上传审核专家汇总表”需要先导出汇总数据表，签字盖章后再进行上传操作。如图 4-4 所示。</w:t>
      </w:r>
    </w:p>
    <w:p>
      <w:r>
        <w:drawing>
          <wp:inline distT="0" distB="0" distL="114300" distR="114300">
            <wp:extent cx="5274310" cy="2154555"/>
            <wp:effectExtent l="0" t="0" r="2540" b="1714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黑体" w:eastAsia="黑体"/>
          <w:sz w:val="24"/>
        </w:rPr>
        <w:t>图4</w:t>
      </w:r>
      <w:r>
        <w:rPr>
          <w:rFonts w:ascii="黑体" w:hAnsi="黑体" w:eastAsia="黑体"/>
          <w:sz w:val="24"/>
        </w:rPr>
        <w:t>-</w:t>
      </w:r>
      <w:r>
        <w:rPr>
          <w:rFonts w:hint="eastAsia" w:ascii="黑体" w:hAnsi="黑体" w:eastAsia="黑体"/>
          <w:sz w:val="24"/>
        </w:rPr>
        <w:t>4</w:t>
      </w:r>
    </w:p>
    <w:p/>
    <w:p>
      <w:pPr>
        <w:rPr>
          <w:rFonts w:ascii="黑体" w:hAnsi="黑体" w:eastAsia="黑体"/>
          <w:sz w:val="24"/>
        </w:rPr>
      </w:pPr>
    </w:p>
    <w:p>
      <w:pPr>
        <w:spacing w:line="560" w:lineRule="exact"/>
        <w:ind w:firstLine="560" w:firstLineChars="200"/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</w:pP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附件上传后，点击上方“批量提交”按钮即可完成提交申报工作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，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项目状态为“待省厅审核”说明已经提交成功</w:t>
      </w:r>
      <w:r>
        <w:rPr>
          <w:rFonts w:hint="eastAsia" w:ascii="Times New Roman" w:hAnsi="Times New Roman" w:eastAsia="仿宋"/>
          <w:color w:val="000000"/>
          <w:kern w:val="0"/>
          <w:sz w:val="28"/>
          <w:szCs w:val="28"/>
          <w:lang w:bidi="ar"/>
        </w:rPr>
        <w:t>，</w:t>
      </w:r>
      <w:r>
        <w:rPr>
          <w:rFonts w:ascii="Times New Roman" w:hAnsi="Times New Roman" w:eastAsia="仿宋"/>
          <w:color w:val="000000"/>
          <w:kern w:val="0"/>
          <w:sz w:val="28"/>
          <w:szCs w:val="28"/>
          <w:lang w:bidi="ar"/>
        </w:rPr>
        <w:t>如图 4-5 所示。</w:t>
      </w:r>
    </w:p>
    <w:p>
      <w:r>
        <w:drawing>
          <wp:inline distT="0" distB="0" distL="114300" distR="114300">
            <wp:extent cx="5271135" cy="2181860"/>
            <wp:effectExtent l="0" t="0" r="5715" b="8890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8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center"/>
        <w:rPr>
          <w:rFonts w:ascii="黑体" w:hAnsi="宋体" w:eastAsia="黑体" w:cs="黑体"/>
          <w:color w:val="000000"/>
          <w:kern w:val="0"/>
          <w:sz w:val="24"/>
          <w:lang w:bidi="ar"/>
        </w:rPr>
      </w:pPr>
      <w:r>
        <w:rPr>
          <w:rFonts w:hint="eastAsia" w:ascii="黑体" w:hAnsi="黑体" w:eastAsia="黑体"/>
          <w:sz w:val="24"/>
        </w:rPr>
        <w:t>图4</w:t>
      </w:r>
      <w:r>
        <w:rPr>
          <w:rFonts w:ascii="黑体" w:hAnsi="黑体" w:eastAsia="黑体"/>
          <w:sz w:val="24"/>
        </w:rPr>
        <w:t>-</w:t>
      </w:r>
      <w:r>
        <w:rPr>
          <w:rFonts w:hint="eastAsia" w:ascii="黑体" w:hAnsi="黑体" w:eastAsia="黑体"/>
          <w:sz w:val="24"/>
        </w:rPr>
        <w:t>5</w:t>
      </w:r>
    </w:p>
    <w:sectPr>
      <w:footerReference r:id="rId5" w:type="first"/>
      <w:footerReference r:id="rId3" w:type="default"/>
      <w:footerReference r:id="rId4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ascii="宋体" w:hAnsi="宋体"/>
        <w:sz w:val="28"/>
      </w:rPr>
    </w:pPr>
    <w:r>
      <w:rPr>
        <w:rFonts w:ascii="宋体" w:hAnsi="宋体"/>
        <w:sz w:val="28"/>
      </w:rPr>
      <w:t xml:space="preserve">— </w:t>
    </w:r>
    <w:r>
      <w:rPr>
        <w:rFonts w:ascii="宋体" w:hAnsi="宋体"/>
        <w:sz w:val="28"/>
      </w:rPr>
      <w:fldChar w:fldCharType="begin"/>
    </w:r>
    <w:r>
      <w:rPr>
        <w:rFonts w:ascii="宋体" w:hAnsi="宋体"/>
        <w:sz w:val="28"/>
      </w:rPr>
      <w:instrText xml:space="preserve"> PAGE \* Arabic \* MERGEFORMAT </w:instrText>
    </w:r>
    <w:r>
      <w:rPr>
        <w:rFonts w:ascii="宋体" w:hAnsi="宋体"/>
        <w:sz w:val="28"/>
      </w:rPr>
      <w:fldChar w:fldCharType="separate"/>
    </w:r>
    <w:r>
      <w:rPr>
        <w:rFonts w:ascii="宋体" w:hAnsi="宋体"/>
        <w:sz w:val="28"/>
      </w:rPr>
      <w:t>9</w:t>
    </w:r>
    <w:r>
      <w:rPr>
        <w:rFonts w:ascii="宋体" w:hAnsi="宋体"/>
        <w:sz w:val="28"/>
      </w:rPr>
      <w:fldChar w:fldCharType="end"/>
    </w:r>
    <w:r>
      <w:rPr>
        <w:rFonts w:ascii="宋体" w:hAnsi="宋体"/>
        <w:sz w:val="28"/>
      </w:rPr>
      <w:t xml:space="preserve"> —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B43C34"/>
    <w:multiLevelType w:val="multilevel"/>
    <w:tmpl w:val="F4B43C34"/>
    <w:lvl w:ilvl="0" w:tentative="0">
      <w:start w:val="1"/>
      <w:numFmt w:val="chineseCountingThousand"/>
      <w:suff w:val="nothing"/>
      <w:lvlText w:val="%1、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NhMzRmMTY3MzNmNTZjZGZhMjJiMTcxMzk5ZDk3ZDkifQ=="/>
  </w:docVars>
  <w:rsids>
    <w:rsidRoot w:val="4D364DD8"/>
    <w:rsid w:val="00046D63"/>
    <w:rsid w:val="00054884"/>
    <w:rsid w:val="0007765A"/>
    <w:rsid w:val="00087E66"/>
    <w:rsid w:val="000A6155"/>
    <w:rsid w:val="000A6BC1"/>
    <w:rsid w:val="00171463"/>
    <w:rsid w:val="001873F2"/>
    <w:rsid w:val="00190B3F"/>
    <w:rsid w:val="00193A02"/>
    <w:rsid w:val="00193DCB"/>
    <w:rsid w:val="001B0C84"/>
    <w:rsid w:val="001B2858"/>
    <w:rsid w:val="001C3244"/>
    <w:rsid w:val="001D6025"/>
    <w:rsid w:val="001D7121"/>
    <w:rsid w:val="0021039E"/>
    <w:rsid w:val="00211432"/>
    <w:rsid w:val="00215348"/>
    <w:rsid w:val="00222C0F"/>
    <w:rsid w:val="00244E63"/>
    <w:rsid w:val="002A6CE4"/>
    <w:rsid w:val="002C4780"/>
    <w:rsid w:val="002E2281"/>
    <w:rsid w:val="002F3674"/>
    <w:rsid w:val="002F6F4E"/>
    <w:rsid w:val="00322CD9"/>
    <w:rsid w:val="00324660"/>
    <w:rsid w:val="003303B7"/>
    <w:rsid w:val="0033616C"/>
    <w:rsid w:val="0034023F"/>
    <w:rsid w:val="003433BE"/>
    <w:rsid w:val="00354C81"/>
    <w:rsid w:val="00370F6C"/>
    <w:rsid w:val="00377068"/>
    <w:rsid w:val="003A1189"/>
    <w:rsid w:val="003A30E7"/>
    <w:rsid w:val="003D0C11"/>
    <w:rsid w:val="003F0C1E"/>
    <w:rsid w:val="003F4CE4"/>
    <w:rsid w:val="00407AA9"/>
    <w:rsid w:val="0042467C"/>
    <w:rsid w:val="00452B8B"/>
    <w:rsid w:val="00473954"/>
    <w:rsid w:val="00491C5D"/>
    <w:rsid w:val="00494DBE"/>
    <w:rsid w:val="004B2831"/>
    <w:rsid w:val="004B6B34"/>
    <w:rsid w:val="004C2CB2"/>
    <w:rsid w:val="004C330B"/>
    <w:rsid w:val="004E095E"/>
    <w:rsid w:val="0050750B"/>
    <w:rsid w:val="005213DF"/>
    <w:rsid w:val="0053521B"/>
    <w:rsid w:val="00545350"/>
    <w:rsid w:val="005E3A6B"/>
    <w:rsid w:val="00611D3B"/>
    <w:rsid w:val="006145FB"/>
    <w:rsid w:val="0062690C"/>
    <w:rsid w:val="00631775"/>
    <w:rsid w:val="00642B9A"/>
    <w:rsid w:val="006A20D5"/>
    <w:rsid w:val="006B722E"/>
    <w:rsid w:val="006C095F"/>
    <w:rsid w:val="006E22E3"/>
    <w:rsid w:val="00745DBB"/>
    <w:rsid w:val="00772D94"/>
    <w:rsid w:val="007B6C84"/>
    <w:rsid w:val="007C199E"/>
    <w:rsid w:val="007F4540"/>
    <w:rsid w:val="007F79EA"/>
    <w:rsid w:val="00814D00"/>
    <w:rsid w:val="008319B0"/>
    <w:rsid w:val="00881197"/>
    <w:rsid w:val="008908EC"/>
    <w:rsid w:val="0089210E"/>
    <w:rsid w:val="00895684"/>
    <w:rsid w:val="00896EA0"/>
    <w:rsid w:val="008A1838"/>
    <w:rsid w:val="008A3F28"/>
    <w:rsid w:val="008A52A1"/>
    <w:rsid w:val="008B569F"/>
    <w:rsid w:val="009164A6"/>
    <w:rsid w:val="00916F6C"/>
    <w:rsid w:val="00926EF6"/>
    <w:rsid w:val="009559F0"/>
    <w:rsid w:val="009717AC"/>
    <w:rsid w:val="009732CA"/>
    <w:rsid w:val="0098789E"/>
    <w:rsid w:val="00991DAE"/>
    <w:rsid w:val="009B3F49"/>
    <w:rsid w:val="009D3927"/>
    <w:rsid w:val="009E0781"/>
    <w:rsid w:val="009F1B6D"/>
    <w:rsid w:val="00A05690"/>
    <w:rsid w:val="00A15978"/>
    <w:rsid w:val="00A21B4E"/>
    <w:rsid w:val="00A40633"/>
    <w:rsid w:val="00A42102"/>
    <w:rsid w:val="00A458F1"/>
    <w:rsid w:val="00A563EC"/>
    <w:rsid w:val="00A73392"/>
    <w:rsid w:val="00A823CE"/>
    <w:rsid w:val="00A94122"/>
    <w:rsid w:val="00AA1921"/>
    <w:rsid w:val="00AA63E3"/>
    <w:rsid w:val="00AB02CB"/>
    <w:rsid w:val="00AD3BA9"/>
    <w:rsid w:val="00AF6ABC"/>
    <w:rsid w:val="00B02D55"/>
    <w:rsid w:val="00B23CDF"/>
    <w:rsid w:val="00B33D12"/>
    <w:rsid w:val="00B55457"/>
    <w:rsid w:val="00B903C6"/>
    <w:rsid w:val="00BA39E8"/>
    <w:rsid w:val="00BD133F"/>
    <w:rsid w:val="00BF26C0"/>
    <w:rsid w:val="00C24F2D"/>
    <w:rsid w:val="00C30C22"/>
    <w:rsid w:val="00C366DB"/>
    <w:rsid w:val="00C4484A"/>
    <w:rsid w:val="00C71019"/>
    <w:rsid w:val="00C723BE"/>
    <w:rsid w:val="00C9752D"/>
    <w:rsid w:val="00CA77B6"/>
    <w:rsid w:val="00CB3E05"/>
    <w:rsid w:val="00CC4EF0"/>
    <w:rsid w:val="00CD3988"/>
    <w:rsid w:val="00CD72CB"/>
    <w:rsid w:val="00CF3E3D"/>
    <w:rsid w:val="00D010C4"/>
    <w:rsid w:val="00D01966"/>
    <w:rsid w:val="00D13FFD"/>
    <w:rsid w:val="00D214D4"/>
    <w:rsid w:val="00D416C6"/>
    <w:rsid w:val="00D55960"/>
    <w:rsid w:val="00D6535B"/>
    <w:rsid w:val="00DA0C46"/>
    <w:rsid w:val="00DA7460"/>
    <w:rsid w:val="00DB68B6"/>
    <w:rsid w:val="00DD22CA"/>
    <w:rsid w:val="00DF1EE3"/>
    <w:rsid w:val="00E17CEA"/>
    <w:rsid w:val="00E305F7"/>
    <w:rsid w:val="00E34969"/>
    <w:rsid w:val="00E370C9"/>
    <w:rsid w:val="00E604C1"/>
    <w:rsid w:val="00F039D4"/>
    <w:rsid w:val="00F137E6"/>
    <w:rsid w:val="00F17D0C"/>
    <w:rsid w:val="00F215FB"/>
    <w:rsid w:val="00F27D6F"/>
    <w:rsid w:val="00F45794"/>
    <w:rsid w:val="00F52972"/>
    <w:rsid w:val="00F92BF8"/>
    <w:rsid w:val="00FB26B2"/>
    <w:rsid w:val="00FB72D8"/>
    <w:rsid w:val="00FE225A"/>
    <w:rsid w:val="01174FBE"/>
    <w:rsid w:val="01670CDA"/>
    <w:rsid w:val="01DB3060"/>
    <w:rsid w:val="03A4593E"/>
    <w:rsid w:val="043E1E6A"/>
    <w:rsid w:val="04424262"/>
    <w:rsid w:val="04AC295C"/>
    <w:rsid w:val="04DC62D7"/>
    <w:rsid w:val="05115387"/>
    <w:rsid w:val="056565F8"/>
    <w:rsid w:val="05B51DC5"/>
    <w:rsid w:val="06964CF4"/>
    <w:rsid w:val="06A8230A"/>
    <w:rsid w:val="08573AAA"/>
    <w:rsid w:val="08B638F0"/>
    <w:rsid w:val="09F72F7E"/>
    <w:rsid w:val="0AA320B1"/>
    <w:rsid w:val="0AD51F47"/>
    <w:rsid w:val="0AD619BB"/>
    <w:rsid w:val="0B0E141F"/>
    <w:rsid w:val="0BB37327"/>
    <w:rsid w:val="0BB63D50"/>
    <w:rsid w:val="0BDC5DEB"/>
    <w:rsid w:val="0C1D2F19"/>
    <w:rsid w:val="0C7159C9"/>
    <w:rsid w:val="0D3A4573"/>
    <w:rsid w:val="0D4728C2"/>
    <w:rsid w:val="0D9E3F1E"/>
    <w:rsid w:val="0E084F77"/>
    <w:rsid w:val="0E1F07E5"/>
    <w:rsid w:val="0E411E0F"/>
    <w:rsid w:val="0E6E5D66"/>
    <w:rsid w:val="0E793F99"/>
    <w:rsid w:val="0EEC698A"/>
    <w:rsid w:val="0F98714E"/>
    <w:rsid w:val="0FC902B0"/>
    <w:rsid w:val="101367DA"/>
    <w:rsid w:val="10783610"/>
    <w:rsid w:val="10E859AA"/>
    <w:rsid w:val="112F1F07"/>
    <w:rsid w:val="11377025"/>
    <w:rsid w:val="116B678C"/>
    <w:rsid w:val="11C903A2"/>
    <w:rsid w:val="120159B4"/>
    <w:rsid w:val="12647717"/>
    <w:rsid w:val="12C30F58"/>
    <w:rsid w:val="12D4427F"/>
    <w:rsid w:val="12D724E5"/>
    <w:rsid w:val="139B2F3F"/>
    <w:rsid w:val="13EF0F84"/>
    <w:rsid w:val="143D5402"/>
    <w:rsid w:val="14856927"/>
    <w:rsid w:val="151C0FC4"/>
    <w:rsid w:val="160318C3"/>
    <w:rsid w:val="16562297"/>
    <w:rsid w:val="16A87BBD"/>
    <w:rsid w:val="16D66E69"/>
    <w:rsid w:val="16DC5BAB"/>
    <w:rsid w:val="16EF2001"/>
    <w:rsid w:val="17110FDD"/>
    <w:rsid w:val="173871BA"/>
    <w:rsid w:val="17783D57"/>
    <w:rsid w:val="17F92A0B"/>
    <w:rsid w:val="18150A81"/>
    <w:rsid w:val="18196493"/>
    <w:rsid w:val="19876C50"/>
    <w:rsid w:val="19C47AF1"/>
    <w:rsid w:val="1B1372B6"/>
    <w:rsid w:val="1B223CE0"/>
    <w:rsid w:val="1BEB11AF"/>
    <w:rsid w:val="1CFB21CD"/>
    <w:rsid w:val="1DD74164"/>
    <w:rsid w:val="1E7E1720"/>
    <w:rsid w:val="1EBA2D30"/>
    <w:rsid w:val="1F0659B3"/>
    <w:rsid w:val="2086142D"/>
    <w:rsid w:val="20B120D5"/>
    <w:rsid w:val="20D42037"/>
    <w:rsid w:val="213C77EB"/>
    <w:rsid w:val="2159200B"/>
    <w:rsid w:val="216614B8"/>
    <w:rsid w:val="22014684"/>
    <w:rsid w:val="226735F6"/>
    <w:rsid w:val="239C706C"/>
    <w:rsid w:val="23E52BED"/>
    <w:rsid w:val="243900C5"/>
    <w:rsid w:val="247817DD"/>
    <w:rsid w:val="24812341"/>
    <w:rsid w:val="24AD2A64"/>
    <w:rsid w:val="24D33BE4"/>
    <w:rsid w:val="24EA229A"/>
    <w:rsid w:val="25EA6527"/>
    <w:rsid w:val="26160B93"/>
    <w:rsid w:val="26E7356F"/>
    <w:rsid w:val="26F36F27"/>
    <w:rsid w:val="270A6D48"/>
    <w:rsid w:val="27AB1443"/>
    <w:rsid w:val="28B20585"/>
    <w:rsid w:val="28FC739B"/>
    <w:rsid w:val="290624CF"/>
    <w:rsid w:val="2922287F"/>
    <w:rsid w:val="294C18E6"/>
    <w:rsid w:val="296751DA"/>
    <w:rsid w:val="2A1E5D28"/>
    <w:rsid w:val="2A3A753D"/>
    <w:rsid w:val="2A7F0347"/>
    <w:rsid w:val="2AB329C8"/>
    <w:rsid w:val="2ACD2201"/>
    <w:rsid w:val="2AFB00C1"/>
    <w:rsid w:val="2B19763B"/>
    <w:rsid w:val="2B691FB4"/>
    <w:rsid w:val="2BC03B14"/>
    <w:rsid w:val="2BFF250B"/>
    <w:rsid w:val="2C7B1AEF"/>
    <w:rsid w:val="2CDE6BC1"/>
    <w:rsid w:val="2D675B3C"/>
    <w:rsid w:val="2E143973"/>
    <w:rsid w:val="2E3B4D88"/>
    <w:rsid w:val="2E456229"/>
    <w:rsid w:val="31196361"/>
    <w:rsid w:val="312202A5"/>
    <w:rsid w:val="317314D5"/>
    <w:rsid w:val="319E7623"/>
    <w:rsid w:val="325F1751"/>
    <w:rsid w:val="329E5233"/>
    <w:rsid w:val="33680D19"/>
    <w:rsid w:val="33805EBB"/>
    <w:rsid w:val="33A217C1"/>
    <w:rsid w:val="343B742A"/>
    <w:rsid w:val="346E76F6"/>
    <w:rsid w:val="348308DE"/>
    <w:rsid w:val="34E57BE0"/>
    <w:rsid w:val="34F170E2"/>
    <w:rsid w:val="35252241"/>
    <w:rsid w:val="35614DAC"/>
    <w:rsid w:val="36110849"/>
    <w:rsid w:val="364C5845"/>
    <w:rsid w:val="373144FB"/>
    <w:rsid w:val="377941B5"/>
    <w:rsid w:val="37806BEE"/>
    <w:rsid w:val="38665110"/>
    <w:rsid w:val="38D71366"/>
    <w:rsid w:val="39745C14"/>
    <w:rsid w:val="39BA1BA2"/>
    <w:rsid w:val="39E34B16"/>
    <w:rsid w:val="3AE90B6B"/>
    <w:rsid w:val="3B14042F"/>
    <w:rsid w:val="3BC75A96"/>
    <w:rsid w:val="3C9E7395"/>
    <w:rsid w:val="3CA525BA"/>
    <w:rsid w:val="3DAF069B"/>
    <w:rsid w:val="3DD16D9A"/>
    <w:rsid w:val="3E5A3E43"/>
    <w:rsid w:val="3EB73614"/>
    <w:rsid w:val="3EC0077E"/>
    <w:rsid w:val="3EEE0598"/>
    <w:rsid w:val="3F0D6C49"/>
    <w:rsid w:val="3F2C2E27"/>
    <w:rsid w:val="40460A90"/>
    <w:rsid w:val="40984117"/>
    <w:rsid w:val="4120466A"/>
    <w:rsid w:val="41D52ECB"/>
    <w:rsid w:val="426771C5"/>
    <w:rsid w:val="43133BBF"/>
    <w:rsid w:val="43EB5803"/>
    <w:rsid w:val="44942FAA"/>
    <w:rsid w:val="44CC6046"/>
    <w:rsid w:val="45FC6BC4"/>
    <w:rsid w:val="4673403D"/>
    <w:rsid w:val="4675593D"/>
    <w:rsid w:val="46D96405"/>
    <w:rsid w:val="479F1052"/>
    <w:rsid w:val="47B91902"/>
    <w:rsid w:val="48474F49"/>
    <w:rsid w:val="48954514"/>
    <w:rsid w:val="48A736BB"/>
    <w:rsid w:val="48C64CFD"/>
    <w:rsid w:val="4A2D16B7"/>
    <w:rsid w:val="4A414940"/>
    <w:rsid w:val="4A4D5684"/>
    <w:rsid w:val="4AD46241"/>
    <w:rsid w:val="4AE53BAD"/>
    <w:rsid w:val="4BBF720E"/>
    <w:rsid w:val="4BDE3F7B"/>
    <w:rsid w:val="4C940507"/>
    <w:rsid w:val="4D1B1B3D"/>
    <w:rsid w:val="4D364DD8"/>
    <w:rsid w:val="4D636A54"/>
    <w:rsid w:val="4D70396E"/>
    <w:rsid w:val="4D9F46DA"/>
    <w:rsid w:val="4DC00677"/>
    <w:rsid w:val="4E0E6D53"/>
    <w:rsid w:val="4EEB07FE"/>
    <w:rsid w:val="4F8E30AB"/>
    <w:rsid w:val="4FA629A7"/>
    <w:rsid w:val="4FF952C8"/>
    <w:rsid w:val="5051086E"/>
    <w:rsid w:val="5090469F"/>
    <w:rsid w:val="50FF6274"/>
    <w:rsid w:val="528676EF"/>
    <w:rsid w:val="53166FB2"/>
    <w:rsid w:val="531A6977"/>
    <w:rsid w:val="53952108"/>
    <w:rsid w:val="53A44353"/>
    <w:rsid w:val="53E24C9D"/>
    <w:rsid w:val="53F23EAF"/>
    <w:rsid w:val="54712B0E"/>
    <w:rsid w:val="55172F58"/>
    <w:rsid w:val="55632EBE"/>
    <w:rsid w:val="556601E1"/>
    <w:rsid w:val="557D5EFB"/>
    <w:rsid w:val="57664F69"/>
    <w:rsid w:val="5794212A"/>
    <w:rsid w:val="579A7CBA"/>
    <w:rsid w:val="57FF29ED"/>
    <w:rsid w:val="58073F43"/>
    <w:rsid w:val="588112B1"/>
    <w:rsid w:val="588A6774"/>
    <w:rsid w:val="58DB7DF9"/>
    <w:rsid w:val="58FB00A6"/>
    <w:rsid w:val="59F9246F"/>
    <w:rsid w:val="5A3301C7"/>
    <w:rsid w:val="5AB132B7"/>
    <w:rsid w:val="5AC717BA"/>
    <w:rsid w:val="5BB029AE"/>
    <w:rsid w:val="5BBD5759"/>
    <w:rsid w:val="5BD10EBE"/>
    <w:rsid w:val="5BE564ED"/>
    <w:rsid w:val="5BE82CD1"/>
    <w:rsid w:val="5CBB4B57"/>
    <w:rsid w:val="5CDF179C"/>
    <w:rsid w:val="5D080490"/>
    <w:rsid w:val="5D2B26FA"/>
    <w:rsid w:val="5D9A4E6D"/>
    <w:rsid w:val="5DB33EE1"/>
    <w:rsid w:val="5E650DE0"/>
    <w:rsid w:val="5E8543B9"/>
    <w:rsid w:val="5FE175D9"/>
    <w:rsid w:val="600D11D9"/>
    <w:rsid w:val="60FD2289"/>
    <w:rsid w:val="610572F8"/>
    <w:rsid w:val="61A00EC7"/>
    <w:rsid w:val="61B66AAC"/>
    <w:rsid w:val="61F4032C"/>
    <w:rsid w:val="627569E9"/>
    <w:rsid w:val="62F448AF"/>
    <w:rsid w:val="63790205"/>
    <w:rsid w:val="63BD3A0A"/>
    <w:rsid w:val="63FF13C6"/>
    <w:rsid w:val="644C2C40"/>
    <w:rsid w:val="64E8320E"/>
    <w:rsid w:val="65235661"/>
    <w:rsid w:val="65322CBF"/>
    <w:rsid w:val="65392C05"/>
    <w:rsid w:val="658B28FD"/>
    <w:rsid w:val="65AC4B11"/>
    <w:rsid w:val="66443F37"/>
    <w:rsid w:val="66516B94"/>
    <w:rsid w:val="667802DB"/>
    <w:rsid w:val="67BA6BF1"/>
    <w:rsid w:val="681618E3"/>
    <w:rsid w:val="683448B0"/>
    <w:rsid w:val="687E19FA"/>
    <w:rsid w:val="68900CFB"/>
    <w:rsid w:val="69213DBA"/>
    <w:rsid w:val="6933330D"/>
    <w:rsid w:val="6A7F3106"/>
    <w:rsid w:val="6A9F14FB"/>
    <w:rsid w:val="6AA01277"/>
    <w:rsid w:val="6AF36C3C"/>
    <w:rsid w:val="6AFA7738"/>
    <w:rsid w:val="6B3B188A"/>
    <w:rsid w:val="6D174474"/>
    <w:rsid w:val="6D677C52"/>
    <w:rsid w:val="6E4E11B3"/>
    <w:rsid w:val="6E753C61"/>
    <w:rsid w:val="6E9745AD"/>
    <w:rsid w:val="6FD22638"/>
    <w:rsid w:val="703C335B"/>
    <w:rsid w:val="704A44CF"/>
    <w:rsid w:val="704E0625"/>
    <w:rsid w:val="70765DAF"/>
    <w:rsid w:val="70DF7918"/>
    <w:rsid w:val="70FF5B11"/>
    <w:rsid w:val="712629D5"/>
    <w:rsid w:val="71D1161A"/>
    <w:rsid w:val="72277FD4"/>
    <w:rsid w:val="724A5109"/>
    <w:rsid w:val="72701491"/>
    <w:rsid w:val="72923D7A"/>
    <w:rsid w:val="72BD7B2B"/>
    <w:rsid w:val="72D93C08"/>
    <w:rsid w:val="72FF6DBF"/>
    <w:rsid w:val="73711566"/>
    <w:rsid w:val="746F3318"/>
    <w:rsid w:val="75462AD0"/>
    <w:rsid w:val="761C4468"/>
    <w:rsid w:val="778016EE"/>
    <w:rsid w:val="77A7130C"/>
    <w:rsid w:val="77E4650E"/>
    <w:rsid w:val="78030E4D"/>
    <w:rsid w:val="78CA2AB3"/>
    <w:rsid w:val="78DD5B0F"/>
    <w:rsid w:val="78F67A4C"/>
    <w:rsid w:val="79102A7E"/>
    <w:rsid w:val="79192B28"/>
    <w:rsid w:val="79275B90"/>
    <w:rsid w:val="79464447"/>
    <w:rsid w:val="79552C87"/>
    <w:rsid w:val="79B52E23"/>
    <w:rsid w:val="79BD0BC8"/>
    <w:rsid w:val="7AC11659"/>
    <w:rsid w:val="7ADB7FE4"/>
    <w:rsid w:val="7B5C15EE"/>
    <w:rsid w:val="7BB809F6"/>
    <w:rsid w:val="7BB92D8D"/>
    <w:rsid w:val="7C065E3C"/>
    <w:rsid w:val="7C440353"/>
    <w:rsid w:val="7D335308"/>
    <w:rsid w:val="7E3B62F7"/>
    <w:rsid w:val="7E9B521F"/>
    <w:rsid w:val="7EB04448"/>
    <w:rsid w:val="7ECF3049"/>
    <w:rsid w:val="7EE63A7C"/>
    <w:rsid w:val="7F5D6952"/>
    <w:rsid w:val="7FBC5B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paragraph" w:styleId="8">
    <w:name w:val="List Paragraph"/>
    <w:basedOn w:val="1"/>
    <w:qFormat/>
    <w:uiPriority w:val="99"/>
    <w:pPr>
      <w:ind w:firstLine="420" w:firstLineChars="200"/>
    </w:pPr>
  </w:style>
  <w:style w:type="character" w:customStyle="1" w:styleId="9">
    <w:name w:val="批注框文本 字符"/>
    <w:basedOn w:val="6"/>
    <w:link w:val="2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jpe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市总工会</Company>
  <Pages>10</Pages>
  <Words>232</Words>
  <Characters>1324</Characters>
  <Lines>11</Lines>
  <Paragraphs>3</Paragraphs>
  <TotalTime>502</TotalTime>
  <ScaleCrop>false</ScaleCrop>
  <LinksUpToDate>false</LinksUpToDate>
  <CharactersWithSpaces>1553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2020-09-17T06:39:00Z</dcterms:created>
  <dc:creator>zjwvivien</dc:creator>
  <cp:lastModifiedBy>Jane</cp:lastModifiedBy>
  <dcterms:modified xsi:type="dcterms:W3CDTF">2023-11-13T08:22:58Z</dcterms:modified>
  <cp:revision>58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E2FAFE6A97CF4B6FB615412C8BE7011D</vt:lpwstr>
  </property>
</Properties>
</file>